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CB75" w14:textId="77777777" w:rsidR="001279AB" w:rsidRPr="00D85CD7" w:rsidRDefault="001279AB" w:rsidP="001279AB">
      <w:pPr>
        <w:pStyle w:val="Heading1"/>
        <w:ind w:left="0"/>
        <w:jc w:val="center"/>
        <w:rPr>
          <w:rFonts w:cs="Times New Roman"/>
          <w:iCs/>
        </w:rPr>
      </w:pPr>
      <w:bookmarkStart w:id="0" w:name="_GoBack"/>
      <w:bookmarkEnd w:id="0"/>
      <w:r w:rsidRPr="00D85CD7">
        <w:rPr>
          <w:rFonts w:cs="Times New Roman"/>
          <w:iCs/>
        </w:rPr>
        <w:t>What the Philadelphia Bank Could Do: Estimated Economic Impact</w:t>
      </w:r>
    </w:p>
    <w:p w14:paraId="6F690864" w14:textId="77777777" w:rsidR="001279AB" w:rsidRDefault="001279AB" w:rsidP="001279AB">
      <w:pPr>
        <w:pStyle w:val="Heading1"/>
        <w:ind w:left="0"/>
        <w:jc w:val="center"/>
        <w:rPr>
          <w:rFonts w:cs="Times New Roman"/>
          <w:b w:val="0"/>
          <w:bCs w:val="0"/>
          <w:iCs/>
        </w:rPr>
      </w:pPr>
      <w:r>
        <w:rPr>
          <w:rFonts w:cs="Times New Roman"/>
          <w:b w:val="0"/>
          <w:bCs w:val="0"/>
          <w:iCs/>
        </w:rPr>
        <w:t xml:space="preserve">By Deborah M. </w:t>
      </w:r>
      <w:proofErr w:type="spellStart"/>
      <w:r>
        <w:rPr>
          <w:rFonts w:cs="Times New Roman"/>
          <w:b w:val="0"/>
          <w:bCs w:val="0"/>
          <w:iCs/>
        </w:rPr>
        <w:t>Figart</w:t>
      </w:r>
      <w:proofErr w:type="spellEnd"/>
      <w:r>
        <w:rPr>
          <w:rFonts w:cs="Times New Roman"/>
          <w:b w:val="0"/>
          <w:bCs w:val="0"/>
          <w:iCs/>
        </w:rPr>
        <w:t>, Ph.D., Distinguished Professor of Economics</w:t>
      </w:r>
    </w:p>
    <w:p w14:paraId="2B73C9B5" w14:textId="77777777" w:rsidR="001279AB" w:rsidRDefault="001279AB" w:rsidP="001279AB">
      <w:pPr>
        <w:pStyle w:val="Heading1"/>
        <w:ind w:left="0"/>
        <w:jc w:val="center"/>
        <w:rPr>
          <w:rFonts w:cs="Times New Roman"/>
          <w:b w:val="0"/>
          <w:bCs w:val="0"/>
          <w:iCs/>
        </w:rPr>
      </w:pPr>
      <w:r>
        <w:rPr>
          <w:rFonts w:cs="Times New Roman"/>
          <w:b w:val="0"/>
          <w:bCs w:val="0"/>
          <w:iCs/>
        </w:rPr>
        <w:t>Stockton University, Galloway, NJ 08205</w:t>
      </w:r>
    </w:p>
    <w:p w14:paraId="140DF574" w14:textId="77777777" w:rsidR="001279AB" w:rsidRDefault="001279AB" w:rsidP="001279AB">
      <w:pPr>
        <w:pStyle w:val="Heading1"/>
        <w:ind w:left="0"/>
        <w:jc w:val="center"/>
        <w:rPr>
          <w:rFonts w:cs="Times New Roman"/>
          <w:b w:val="0"/>
          <w:bCs w:val="0"/>
          <w:iCs/>
        </w:rPr>
      </w:pPr>
      <w:r>
        <w:rPr>
          <w:rFonts w:cs="Times New Roman"/>
          <w:b w:val="0"/>
          <w:bCs w:val="0"/>
          <w:iCs/>
        </w:rPr>
        <w:t>Deb.Figart@stockton.edu</w:t>
      </w:r>
    </w:p>
    <w:p w14:paraId="768E2EAA" w14:textId="77777777" w:rsidR="001279AB" w:rsidRDefault="001279AB" w:rsidP="001279AB">
      <w:pPr>
        <w:pStyle w:val="Heading1"/>
        <w:spacing w:before="77"/>
        <w:ind w:left="0"/>
        <w:rPr>
          <w:rFonts w:cs="Times New Roman"/>
          <w:b w:val="0"/>
          <w:bCs w:val="0"/>
          <w:iCs/>
        </w:rPr>
      </w:pPr>
    </w:p>
    <w:p w14:paraId="443FF6AB" w14:textId="5D232A2D" w:rsidR="001279AB" w:rsidRPr="001279AB" w:rsidRDefault="001279AB" w:rsidP="001279AB">
      <w:pPr>
        <w:rPr>
          <w:b/>
          <w:bCs/>
        </w:rPr>
      </w:pPr>
      <w:r w:rsidRPr="001279AB">
        <w:rPr>
          <w:b/>
          <w:bCs/>
        </w:rPr>
        <w:t>Issue: How Can</w:t>
      </w:r>
      <w:r>
        <w:rPr>
          <w:b/>
          <w:bCs/>
        </w:rPr>
        <w:t xml:space="preserve"> City Policy</w:t>
      </w:r>
      <w:r w:rsidRPr="001279AB">
        <w:rPr>
          <w:b/>
          <w:bCs/>
        </w:rPr>
        <w:t xml:space="preserve"> Jump Start our Local Economy.</w:t>
      </w:r>
    </w:p>
    <w:p w14:paraId="0947EF67" w14:textId="77777777" w:rsidR="001279AB" w:rsidRDefault="001279AB" w:rsidP="001279AB"/>
    <w:p w14:paraId="1AD6F258" w14:textId="34F53B98" w:rsidR="001279AB" w:rsidRDefault="001279AB" w:rsidP="001279AB">
      <w:r>
        <w:t xml:space="preserve">As we all know, Philadelphia’s poverty rate is the highest among the country’s 10 largest cities. All efforts to </w:t>
      </w:r>
      <w:r w:rsidR="009F2D1A">
        <w:t>resolve the problem</w:t>
      </w:r>
      <w:r>
        <w:t xml:space="preserve"> have failed to move the needle</w:t>
      </w:r>
      <w:r w:rsidR="009F2D1A">
        <w:t xml:space="preserve"> in any meaningful way</w:t>
      </w:r>
      <w:r>
        <w:t xml:space="preserve">. </w:t>
      </w:r>
    </w:p>
    <w:p w14:paraId="1E9C6975" w14:textId="77777777" w:rsidR="001279AB" w:rsidRDefault="001279AB" w:rsidP="001279AB"/>
    <w:p w14:paraId="3DB54FAB" w14:textId="79A54489" w:rsidR="001279AB" w:rsidRDefault="001279AB" w:rsidP="001279AB">
      <w:pPr>
        <w:rPr>
          <w:b/>
          <w:bCs/>
        </w:rPr>
      </w:pPr>
      <w:r w:rsidRPr="001279AB">
        <w:rPr>
          <w:b/>
          <w:bCs/>
        </w:rPr>
        <w:t xml:space="preserve">Need: More good paying jobs. </w:t>
      </w:r>
    </w:p>
    <w:p w14:paraId="5443342E" w14:textId="31359EA8" w:rsidR="001279AB" w:rsidRDefault="001279AB" w:rsidP="001279AB">
      <w:pPr>
        <w:rPr>
          <w:b/>
          <w:bCs/>
        </w:rPr>
      </w:pPr>
    </w:p>
    <w:p w14:paraId="7114539E" w14:textId="70787A2B" w:rsidR="001279AB" w:rsidRPr="001279AB" w:rsidRDefault="001279AB" w:rsidP="001279AB">
      <w:r>
        <w:t>Although the challenge of poverty goes beyond the job market, increasing employment would obviously contribute much toward the solution of this over-arching problem for our City.</w:t>
      </w:r>
    </w:p>
    <w:p w14:paraId="6FEC12B9" w14:textId="77777777" w:rsidR="001279AB" w:rsidRDefault="001279AB" w:rsidP="001279AB"/>
    <w:p w14:paraId="18732102" w14:textId="74F30C03" w:rsidR="001279AB" w:rsidRDefault="001279AB" w:rsidP="001279AB">
      <w:r w:rsidRPr="001279AB">
        <w:rPr>
          <w:b/>
          <w:bCs/>
        </w:rPr>
        <w:t xml:space="preserve">Solution: </w:t>
      </w:r>
      <w:r>
        <w:rPr>
          <w:b/>
          <w:bCs/>
        </w:rPr>
        <w:t>Create A Philadelphia Public Bank to Create Thousands of New Jobs</w:t>
      </w:r>
    </w:p>
    <w:p w14:paraId="30164877" w14:textId="77777777" w:rsidR="001279AB" w:rsidRDefault="001279AB" w:rsidP="001279AB"/>
    <w:p w14:paraId="0E43BBE9" w14:textId="255C9D74" w:rsidR="001279AB" w:rsidRDefault="001279AB" w:rsidP="001279AB">
      <w:pPr>
        <w:rPr>
          <w:iCs/>
        </w:rPr>
      </w:pPr>
      <w:r w:rsidRPr="00DF5375">
        <w:t xml:space="preserve">Pragmatically, public banks are an alternative revenue stream for community development projects in a context where increasing taxes is challenging. </w:t>
      </w:r>
      <w:r w:rsidRPr="00DF5375">
        <w:rPr>
          <w:iCs/>
        </w:rPr>
        <w:t xml:space="preserve">A public bank can yield positive local economic development effects through its operations and lending. </w:t>
      </w:r>
    </w:p>
    <w:p w14:paraId="6D113CE3" w14:textId="77777777" w:rsidR="001279AB" w:rsidRDefault="001279AB" w:rsidP="001279AB">
      <w:pPr>
        <w:rPr>
          <w:b/>
          <w:bCs/>
          <w:iCs/>
        </w:rPr>
      </w:pPr>
    </w:p>
    <w:p w14:paraId="578C8DA5" w14:textId="6B07CD51" w:rsidR="001279AB" w:rsidRDefault="001279AB" w:rsidP="001279AB">
      <w:pPr>
        <w:pStyle w:val="Heading1"/>
        <w:spacing w:before="77"/>
        <w:ind w:left="0"/>
        <w:rPr>
          <w:rStyle w:val="st"/>
          <w:b w:val="0"/>
          <w:bCs w:val="0"/>
        </w:rPr>
      </w:pPr>
      <w:r>
        <w:rPr>
          <w:rFonts w:cs="Times New Roman"/>
          <w:b w:val="0"/>
          <w:bCs w:val="0"/>
          <w:iCs/>
        </w:rPr>
        <w:t xml:space="preserve">I quantify the impact using various assumptions. First, </w:t>
      </w:r>
      <w:r w:rsidRPr="002A27F4">
        <w:rPr>
          <w:rStyle w:val="st"/>
          <w:b w:val="0"/>
          <w:bCs w:val="0"/>
        </w:rPr>
        <w:t>the</w:t>
      </w:r>
      <w:r>
        <w:rPr>
          <w:rStyle w:val="st"/>
          <w:b w:val="0"/>
          <w:bCs w:val="0"/>
        </w:rPr>
        <w:t xml:space="preserve"> city</w:t>
      </w:r>
      <w:r w:rsidRPr="002A27F4">
        <w:rPr>
          <w:rStyle w:val="st"/>
          <w:b w:val="0"/>
          <w:bCs w:val="0"/>
        </w:rPr>
        <w:t xml:space="preserve"> treasurer deposits/apportions the general revenue fund in the public bank according to three alternative scenarios: 25%, 50%, and 75%. This could be viewed as mild, moderate, and aggressive moves away from private banks, or could be viewed as a stepwise plan, e.g. move 25% to the new public bank in the first year, another 25% in year #2, and top up to 75% of deposits by year #3.</w:t>
      </w:r>
      <w:r>
        <w:rPr>
          <w:rStyle w:val="st"/>
          <w:b w:val="0"/>
          <w:bCs w:val="0"/>
        </w:rPr>
        <w:t xml:space="preserve"> Second, the required reserve ratio is 10%, similar to large U.S. banks, meaning that 90% of deposits are available to lend.</w:t>
      </w:r>
    </w:p>
    <w:p w14:paraId="4622CF07" w14:textId="77777777" w:rsidR="001279AB" w:rsidRDefault="001279AB" w:rsidP="001279AB">
      <w:pPr>
        <w:pStyle w:val="Heading1"/>
        <w:spacing w:before="77"/>
        <w:ind w:left="0"/>
        <w:rPr>
          <w:rStyle w:val="st"/>
          <w:b w:val="0"/>
          <w:bCs w:val="0"/>
        </w:rPr>
      </w:pPr>
    </w:p>
    <w:p w14:paraId="406D2273" w14:textId="1A3B9D7D" w:rsidR="001279AB" w:rsidRDefault="001279AB" w:rsidP="001279AB">
      <w:r w:rsidRPr="00DF5375">
        <w:rPr>
          <w:rStyle w:val="st"/>
        </w:rPr>
        <w:t xml:space="preserve">The economic development impacts are shown in Table 1. </w:t>
      </w:r>
      <w:r w:rsidRPr="00DF5375">
        <w:t xml:space="preserve">Aggregated output is estimated to increase by $1.70 billion to $5.09 billion. Earnings would rise by $161 million (if 25% were deposited) or by $482 million (if 75% were deposited). Employment would grow by as much as 10,755 jobs (if 75% were deposited). Finally, value-added, or Gross State Product, would increase by $1 to $3 billion. </w:t>
      </w:r>
      <w:r w:rsidRPr="00DF5375">
        <w:rPr>
          <w:rStyle w:val="st"/>
        </w:rPr>
        <w:t xml:space="preserve">These are lower bound estimates because only city general revenue funds are in play, not additional public authority deposits such as SEPTA, </w:t>
      </w:r>
      <w:r w:rsidR="001C53BF">
        <w:rPr>
          <w:rStyle w:val="st"/>
        </w:rPr>
        <w:t>the School District</w:t>
      </w:r>
      <w:r w:rsidRPr="00DF5375">
        <w:rPr>
          <w:rStyle w:val="st"/>
        </w:rPr>
        <w:t xml:space="preserve">, and </w:t>
      </w:r>
      <w:r w:rsidR="001C53BF">
        <w:rPr>
          <w:rStyle w:val="st"/>
        </w:rPr>
        <w:t>large non-profits</w:t>
      </w:r>
      <w:r w:rsidRPr="00DF5375">
        <w:rPr>
          <w:rStyle w:val="st"/>
        </w:rPr>
        <w:t xml:space="preserve">. </w:t>
      </w:r>
      <w:r>
        <w:rPr>
          <w:rStyle w:val="st"/>
        </w:rPr>
        <w:t xml:space="preserve">Further, these estimates do not yet include the ripple effects of </w:t>
      </w:r>
      <w:r w:rsidRPr="00DF5375">
        <w:t>the economic value of the infrastructure spending enabled by the lending</w:t>
      </w:r>
      <w:r>
        <w:t xml:space="preserve"> or the City of Philadelphia’s savings on compound interest from borrowing at low rates of interest from the public bank.</w:t>
      </w:r>
    </w:p>
    <w:p w14:paraId="35CF66A0" w14:textId="77777777" w:rsidR="001279AB" w:rsidRPr="008C5238" w:rsidRDefault="001279AB" w:rsidP="001279AB">
      <w:pPr>
        <w:rPr>
          <w:iCs/>
        </w:rPr>
      </w:pPr>
    </w:p>
    <w:p w14:paraId="70A0E196" w14:textId="77777777" w:rsidR="001279AB" w:rsidRPr="00FB1ACE" w:rsidRDefault="001279AB" w:rsidP="001279AB">
      <w:pPr>
        <w:pStyle w:val="Heading1"/>
        <w:spacing w:before="77"/>
        <w:ind w:left="0"/>
        <w:rPr>
          <w:bCs w:val="0"/>
        </w:rPr>
      </w:pPr>
      <w:r w:rsidRPr="00FB1ACE">
        <w:rPr>
          <w:rFonts w:cs="Times New Roman"/>
          <w:i/>
        </w:rPr>
        <w:t>Table</w:t>
      </w:r>
      <w:r w:rsidRPr="00FB1ACE"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  <w:spacing w:val="-1"/>
        </w:rPr>
        <w:t>1</w:t>
      </w:r>
      <w:r w:rsidRPr="00FB1ACE">
        <w:rPr>
          <w:rFonts w:cs="Times New Roman"/>
          <w:i/>
        </w:rPr>
        <w:t xml:space="preserve">. </w:t>
      </w:r>
      <w:r w:rsidRPr="00FB1ACE">
        <w:rPr>
          <w:rFonts w:cs="Times New Roman"/>
        </w:rPr>
        <w:t xml:space="preserve">City of Philadelphia Municipal Bank: </w:t>
      </w:r>
      <w:r w:rsidRPr="00FB1ACE">
        <w:t>Esti</w:t>
      </w:r>
      <w:r w:rsidRPr="00FB1ACE">
        <w:rPr>
          <w:spacing w:val="-4"/>
        </w:rPr>
        <w:t>m</w:t>
      </w:r>
      <w:r w:rsidRPr="00FB1ACE">
        <w:rPr>
          <w:spacing w:val="2"/>
        </w:rPr>
        <w:t>a</w:t>
      </w:r>
      <w:r w:rsidRPr="00FB1ACE">
        <w:t>t</w:t>
      </w:r>
      <w:r w:rsidRPr="00FB1ACE">
        <w:rPr>
          <w:spacing w:val="-2"/>
        </w:rPr>
        <w:t>e</w:t>
      </w:r>
      <w:r w:rsidRPr="00FB1ACE">
        <w:t>d E</w:t>
      </w:r>
      <w:r w:rsidRPr="00FB1ACE">
        <w:rPr>
          <w:spacing w:val="-1"/>
        </w:rPr>
        <w:t>c</w:t>
      </w:r>
      <w:r w:rsidRPr="00FB1ACE">
        <w:rPr>
          <w:spacing w:val="2"/>
        </w:rPr>
        <w:t>o</w:t>
      </w:r>
      <w:r w:rsidRPr="00FB1ACE">
        <w:t>no</w:t>
      </w:r>
      <w:r w:rsidRPr="00FB1ACE">
        <w:rPr>
          <w:spacing w:val="-4"/>
        </w:rPr>
        <w:t>m</w:t>
      </w:r>
      <w:r w:rsidRPr="00FB1ACE">
        <w:t xml:space="preserve">ic </w:t>
      </w:r>
      <w:r w:rsidRPr="00FB1ACE">
        <w:rPr>
          <w:spacing w:val="1"/>
        </w:rPr>
        <w:t>I</w:t>
      </w:r>
      <w:r w:rsidRPr="00FB1ACE">
        <w:rPr>
          <w:spacing w:val="-4"/>
        </w:rPr>
        <w:t>m</w:t>
      </w:r>
      <w:r w:rsidRPr="00FB1ACE">
        <w:t>pa</w:t>
      </w:r>
      <w:r w:rsidRPr="00FB1ACE">
        <w:rPr>
          <w:spacing w:val="1"/>
        </w:rPr>
        <w:t>c</w:t>
      </w:r>
      <w:r w:rsidRPr="00FB1ACE">
        <w:t>t</w:t>
      </w:r>
    </w:p>
    <w:p w14:paraId="66FB330C" w14:textId="77777777" w:rsidR="001279AB" w:rsidRPr="00FB1ACE" w:rsidRDefault="001279AB" w:rsidP="001279AB">
      <w:pPr>
        <w:ind w:hanging="100"/>
      </w:pPr>
    </w:p>
    <w:p w14:paraId="4DE2416E" w14:textId="77777777" w:rsidR="001279AB" w:rsidRPr="00FB1ACE" w:rsidRDefault="001279AB" w:rsidP="001279AB">
      <w:pPr>
        <w:spacing w:before="16" w:line="260" w:lineRule="exact"/>
        <w:rPr>
          <w:u w:val="single"/>
        </w:rPr>
      </w:pPr>
      <w:r w:rsidRPr="00FB1ACE">
        <w:rPr>
          <w:u w:val="single"/>
        </w:rPr>
        <w:t>%Deposited</w:t>
      </w:r>
      <w:r w:rsidRPr="00FB1ACE">
        <w:tab/>
      </w:r>
      <w:r w:rsidRPr="00FB1ACE">
        <w:rPr>
          <w:u w:val="single"/>
        </w:rPr>
        <w:t>$Deposited</w:t>
      </w:r>
      <w:r w:rsidRPr="00FB1ACE">
        <w:tab/>
      </w:r>
      <w:r w:rsidRPr="00FB1ACE">
        <w:rPr>
          <w:u w:val="single"/>
        </w:rPr>
        <w:t>$Loans (90%)</w:t>
      </w:r>
      <w:r w:rsidRPr="00FB1ACE">
        <w:tab/>
      </w:r>
      <w:r>
        <w:t xml:space="preserve">     </w:t>
      </w:r>
      <w:r w:rsidRPr="00FB1ACE">
        <w:rPr>
          <w:u w:val="single"/>
        </w:rPr>
        <w:t>Output</w:t>
      </w:r>
      <w:r>
        <w:t xml:space="preserve">     </w:t>
      </w:r>
      <w:r w:rsidRPr="00FB1ACE">
        <w:rPr>
          <w:u w:val="single"/>
        </w:rPr>
        <w:t>Earnings</w:t>
      </w:r>
      <w:r w:rsidRPr="00FB1ACE">
        <w:tab/>
      </w:r>
      <w:r>
        <w:t xml:space="preserve">   </w:t>
      </w:r>
      <w:r>
        <w:rPr>
          <w:u w:val="single"/>
        </w:rPr>
        <w:t>Jobs</w:t>
      </w:r>
      <w:proofErr w:type="gramStart"/>
      <w:r>
        <w:tab/>
        <w:t xml:space="preserve">  </w:t>
      </w:r>
      <w:r w:rsidRPr="00FB1ACE">
        <w:rPr>
          <w:u w:val="single"/>
        </w:rPr>
        <w:t>Value</w:t>
      </w:r>
      <w:proofErr w:type="gramEnd"/>
      <w:r w:rsidRPr="00FB1ACE">
        <w:rPr>
          <w:u w:val="single"/>
        </w:rPr>
        <w:t>-Added</w:t>
      </w:r>
    </w:p>
    <w:p w14:paraId="7BF4EC47" w14:textId="77777777" w:rsidR="001279AB" w:rsidRPr="00FB1ACE" w:rsidRDefault="001279AB" w:rsidP="001279AB">
      <w:pPr>
        <w:spacing w:before="16" w:line="260" w:lineRule="exact"/>
      </w:pPr>
    </w:p>
    <w:p w14:paraId="7E195F64" w14:textId="77777777" w:rsidR="001279AB" w:rsidRPr="00FB1ACE" w:rsidRDefault="001279AB" w:rsidP="001279AB">
      <w:pPr>
        <w:spacing w:before="16" w:line="260" w:lineRule="exact"/>
      </w:pPr>
      <w:r w:rsidRPr="00FB1ACE">
        <w:t>25%</w:t>
      </w:r>
      <w:r w:rsidRPr="00FB1ACE">
        <w:tab/>
      </w:r>
      <w:r w:rsidRPr="00FB1ACE">
        <w:tab/>
        <w:t>$1.26B</w:t>
      </w:r>
      <w:r>
        <w:tab/>
      </w:r>
      <w:r w:rsidRPr="00FB1ACE">
        <w:tab/>
        <w:t>$1.13B</w:t>
      </w:r>
      <w:r w:rsidRPr="00FB1ACE">
        <w:tab/>
      </w:r>
      <w:r w:rsidRPr="00FB1ACE">
        <w:tab/>
      </w:r>
      <w:r>
        <w:t xml:space="preserve">     </w:t>
      </w:r>
      <w:r w:rsidRPr="00FB1ACE">
        <w:t>$1.70B</w:t>
      </w:r>
      <w:r>
        <w:t xml:space="preserve">    </w:t>
      </w:r>
      <w:r w:rsidRPr="00FB1ACE">
        <w:t>$160.77M</w:t>
      </w:r>
      <w:r>
        <w:t xml:space="preserve">   </w:t>
      </w:r>
      <w:r w:rsidRPr="00FB1ACE">
        <w:t>3,585</w:t>
      </w:r>
      <w:r>
        <w:t xml:space="preserve">     </w:t>
      </w:r>
      <w:r w:rsidRPr="00FB1ACE">
        <w:t>$1.00B</w:t>
      </w:r>
    </w:p>
    <w:p w14:paraId="2E6D8C6B" w14:textId="77777777" w:rsidR="001279AB" w:rsidRPr="00FB1ACE" w:rsidRDefault="001279AB" w:rsidP="001279AB">
      <w:pPr>
        <w:spacing w:before="16" w:line="260" w:lineRule="exact"/>
      </w:pPr>
      <w:r w:rsidRPr="00FB1ACE">
        <w:t>50%</w:t>
      </w:r>
      <w:r w:rsidRPr="00FB1ACE">
        <w:tab/>
      </w:r>
      <w:r w:rsidRPr="00FB1ACE">
        <w:tab/>
        <w:t>$2.51B</w:t>
      </w:r>
      <w:r w:rsidRPr="00FB1ACE">
        <w:tab/>
      </w:r>
      <w:r>
        <w:tab/>
      </w:r>
      <w:r w:rsidRPr="00FB1ACE">
        <w:t>$2.26B</w:t>
      </w:r>
      <w:r w:rsidRPr="00FB1ACE">
        <w:tab/>
      </w:r>
      <w:r w:rsidRPr="00FB1ACE">
        <w:tab/>
      </w:r>
      <w:r>
        <w:t xml:space="preserve">     </w:t>
      </w:r>
      <w:r w:rsidRPr="00FB1ACE">
        <w:t>$3.40B</w:t>
      </w:r>
      <w:r>
        <w:t xml:space="preserve">    </w:t>
      </w:r>
      <w:r w:rsidRPr="00FB1ACE">
        <w:t>$321.50M</w:t>
      </w:r>
      <w:r>
        <w:t xml:space="preserve">   </w:t>
      </w:r>
      <w:r w:rsidRPr="00FB1ACE">
        <w:t>7,170</w:t>
      </w:r>
      <w:r>
        <w:t xml:space="preserve">     </w:t>
      </w:r>
      <w:r w:rsidRPr="00FB1ACE">
        <w:t>$2.01B</w:t>
      </w:r>
    </w:p>
    <w:p w14:paraId="3BB0BFE9" w14:textId="77777777" w:rsidR="001279AB" w:rsidRPr="00FB1ACE" w:rsidRDefault="001279AB" w:rsidP="001279AB">
      <w:pPr>
        <w:spacing w:before="16" w:line="260" w:lineRule="exact"/>
      </w:pPr>
      <w:r w:rsidRPr="00FB1ACE">
        <w:lastRenderedPageBreak/>
        <w:t>75%</w:t>
      </w:r>
      <w:r w:rsidRPr="00FB1ACE">
        <w:tab/>
      </w:r>
      <w:r w:rsidRPr="00FB1ACE">
        <w:tab/>
        <w:t>$3.79B</w:t>
      </w:r>
      <w:r w:rsidRPr="00FB1ACE">
        <w:tab/>
      </w:r>
      <w:r>
        <w:tab/>
      </w:r>
      <w:r w:rsidRPr="00FB1ACE">
        <w:t>$3.40B</w:t>
      </w:r>
      <w:r w:rsidRPr="00FB1ACE">
        <w:tab/>
      </w:r>
      <w:r w:rsidRPr="00FB1ACE">
        <w:tab/>
      </w:r>
      <w:r>
        <w:t xml:space="preserve">     </w:t>
      </w:r>
      <w:r w:rsidRPr="00FB1ACE">
        <w:t>$5.09B</w:t>
      </w:r>
      <w:r>
        <w:t xml:space="preserve">    </w:t>
      </w:r>
      <w:r w:rsidRPr="00FB1ACE">
        <w:t>$482.32</w:t>
      </w:r>
      <w:proofErr w:type="gramStart"/>
      <w:r w:rsidRPr="00FB1ACE">
        <w:t>M</w:t>
      </w:r>
      <w:r>
        <w:t xml:space="preserve">  10,755</w:t>
      </w:r>
      <w:proofErr w:type="gramEnd"/>
      <w:r>
        <w:t xml:space="preserve">    </w:t>
      </w:r>
      <w:r w:rsidRPr="00FB1ACE">
        <w:t>$3.01B</w:t>
      </w:r>
    </w:p>
    <w:p w14:paraId="06BF1BB9" w14:textId="77777777" w:rsidR="001279AB" w:rsidRPr="00FB1ACE" w:rsidRDefault="001279AB" w:rsidP="001279AB"/>
    <w:p w14:paraId="6C974605" w14:textId="77777777" w:rsidR="001279AB" w:rsidRPr="00FB1ACE" w:rsidRDefault="001279AB" w:rsidP="001279AB">
      <w:pPr>
        <w:spacing w:before="16" w:line="260" w:lineRule="exact"/>
      </w:pPr>
      <w:r w:rsidRPr="00FB1ACE">
        <w:t xml:space="preserve">Note: The City of Philadelphia budget in FY2020 is $5.025 billion. </w:t>
      </w:r>
    </w:p>
    <w:p w14:paraId="02662867" w14:textId="77777777" w:rsidR="001279AB" w:rsidRPr="00521826" w:rsidRDefault="001279AB" w:rsidP="001279AB">
      <w:pPr>
        <w:rPr>
          <w:rFonts w:eastAsia="Times New Roman"/>
          <w:bCs/>
          <w:color w:val="26282A"/>
        </w:rPr>
      </w:pPr>
      <w:r w:rsidRPr="00FB1ACE">
        <w:t xml:space="preserve">Source: </w:t>
      </w:r>
      <w:r>
        <w:t>E</w:t>
      </w:r>
      <w:r w:rsidRPr="00FB1ACE">
        <w:t xml:space="preserve">stimates </w:t>
      </w:r>
      <w:r>
        <w:t xml:space="preserve">are </w:t>
      </w:r>
      <w:r w:rsidRPr="00FB1ACE">
        <w:t xml:space="preserve">based on </w:t>
      </w:r>
      <w:r>
        <w:t xml:space="preserve">U.S. Department of Commerce, Bureau of Economic Analysis </w:t>
      </w:r>
      <w:r w:rsidRPr="00FB1ACE">
        <w:t>Type II multipliers in RIMS II</w:t>
      </w:r>
      <w:r>
        <w:t xml:space="preserve"> from Deborah M. </w:t>
      </w:r>
      <w:proofErr w:type="spellStart"/>
      <w:r>
        <w:t>Figart</w:t>
      </w:r>
      <w:proofErr w:type="spellEnd"/>
      <w:r>
        <w:t>, “</w:t>
      </w:r>
      <w:r w:rsidRPr="00521826">
        <w:rPr>
          <w:rFonts w:eastAsia="Times New Roman"/>
          <w:bCs/>
          <w:color w:val="26282A"/>
        </w:rPr>
        <w:t>Restoring the Social Balance: The Potential Impact of a Public Infrastructure Bank</w:t>
      </w:r>
      <w:r>
        <w:rPr>
          <w:rFonts w:eastAsia="Times New Roman"/>
          <w:bCs/>
          <w:color w:val="26282A"/>
        </w:rPr>
        <w:t xml:space="preserve">,” forthcoming in the </w:t>
      </w:r>
      <w:r w:rsidRPr="00521826">
        <w:rPr>
          <w:rFonts w:eastAsia="Times New Roman"/>
          <w:bCs/>
          <w:i/>
          <w:iCs/>
          <w:color w:val="26282A"/>
        </w:rPr>
        <w:t>Journal of Economic Issues</w:t>
      </w:r>
      <w:r>
        <w:rPr>
          <w:rFonts w:eastAsia="Times New Roman"/>
          <w:bCs/>
          <w:color w:val="26282A"/>
        </w:rPr>
        <w:t>.</w:t>
      </w:r>
    </w:p>
    <w:p w14:paraId="48225A01" w14:textId="77777777" w:rsidR="001279AB" w:rsidRPr="00C70692" w:rsidRDefault="001279AB" w:rsidP="001279AB">
      <w:pPr>
        <w:pStyle w:val="Heading1"/>
        <w:spacing w:before="77"/>
        <w:ind w:left="0"/>
        <w:rPr>
          <w:rFonts w:cs="Times New Roman"/>
          <w:b w:val="0"/>
        </w:rPr>
      </w:pPr>
    </w:p>
    <w:p w14:paraId="6839F184" w14:textId="77777777" w:rsidR="006B3713" w:rsidRDefault="00E64D93"/>
    <w:sectPr w:rsidR="006B3713" w:rsidSect="00DB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AB"/>
    <w:rsid w:val="001279AB"/>
    <w:rsid w:val="001C53BF"/>
    <w:rsid w:val="009236DE"/>
    <w:rsid w:val="009F2D1A"/>
    <w:rsid w:val="00E64D93"/>
    <w:rsid w:val="00F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73E23"/>
  <w15:chartTrackingRefBased/>
  <w15:docId w15:val="{69BEDB5E-1AA6-9640-B19A-7953451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AB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279AB"/>
    <w:pPr>
      <w:widowControl w:val="0"/>
      <w:ind w:left="140"/>
      <w:outlineLvl w:val="0"/>
    </w:pPr>
    <w:rPr>
      <w:rFonts w:eastAsia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AB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efaultParagraphFont"/>
    <w:rsid w:val="0012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Lenzi</dc:creator>
  <cp:keywords/>
  <dc:description/>
  <cp:lastModifiedBy>Peter Winslow</cp:lastModifiedBy>
  <cp:revision>2</cp:revision>
  <dcterms:created xsi:type="dcterms:W3CDTF">2020-04-22T22:11:00Z</dcterms:created>
  <dcterms:modified xsi:type="dcterms:W3CDTF">2020-04-22T22:11:00Z</dcterms:modified>
</cp:coreProperties>
</file>